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2015/26 vom 25. Juli 2017</w:t>
      </w:r>
    </w:p>
    <w:p>
      <w:r>
        <w:t>Sg Versicherungsgericht, 2017-07-25, DE</w:t>
      </w:r>
    </w:p>
    <w:p>
      <w:r>
        <w:rPr>
          <w:b/>
        </w:rPr>
        <w:t xml:space="preserve">Quelle: </w:t>
      </w:r>
      <w:r>
        <w:t>https://mcp.opencaselaw.ch/entscheid/sg_publikationen_UV 2015_26</w:t>
      </w:r>
    </w:p>
    <w:p>
      <w:r>
        <w:t>FR: SG_VERSICHERUNGSGERICHT UV 2015/26 du 25 juillet 2017</w:t>
      </w:r>
    </w:p>
    <w:p>
      <w:r>
        <w:t>IT: SG_VERSICHERUNGSGERICHT UV 2015/26 del 25 luglio 2017</w:t>
      </w:r>
    </w:p>
    <w:p>
      <w:pPr>
        <w:pStyle w:val="Heading2"/>
      </w:pPr>
      <w:r>
        <w:t>Regeste</w:t>
      </w:r>
    </w:p>
    <w:p>
      <w:r>
        <w:t>Art. 17 ATSG. Bei rein konjunkturbedingt bzw. konkurrenzbedingt rückläufiger Entwicklung des Invalideneinkommens wäre diese Entwicklung parallel dazu auch beim Valideneinkommen eingetreten, womit es an den Voraussetzungen einer Revision mangelt (Entscheid des Versicherungsgerichts des Kantons St. Gallen vom25. Juli 2017, UV 2015/26).</w:t>
      </w:r>
    </w:p>
    <w:p>
      <w:pPr>
        <w:pStyle w:val="Heading2"/>
      </w:pPr>
      <w:r>
        <w:t>Erwägungen</w:t>
      </w:r>
    </w:p>
    <w:p>
      <w:r>
        <w:rPr>
          <w:b/>
        </w:rPr>
        <w:t>E. 1</w:t>
      </w:r>
    </w:p>
    <w:p>
      <w:r>
        <w:t>Am 1. Januar 2017 sind die aufgrund der 1. UVG-Revision geänderten Bestimmungen des Bundesgesetzes über die Unfallversicherung (UVG; SR 832.20) und der dazugehörenden Verordnung über die Unfallversicherung (UVV; SR 832.202) in Kraft getreten. Nachdem vorliegend Bestimmungen zur Anwendung gelangen, die mit der Revision keine Änderung erfahren haben, erübrigt sich eine intertemporalrechtliche Beurteilung.</w:t>
      </w:r>
    </w:p>
    <w:p>
      <w:r>
        <w:rPr>
          <w:b/>
        </w:rPr>
        <w:t>E. 2</w:t>
      </w:r>
    </w:p>
    <w:p>
      <w:r>
        <w:t>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